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 w:cs="仿宋_GB2312"/>
          <w:b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eastAsia="仿宋_GB2312" w:cs="仿宋_GB2312"/>
          <w:b/>
          <w:bCs/>
          <w:color w:val="000000"/>
          <w:kern w:val="2"/>
          <w:sz w:val="44"/>
          <w:szCs w:val="44"/>
          <w:lang w:val="en-US" w:eastAsia="zh-CN" w:bidi="ar-SA"/>
        </w:rPr>
        <w:t>华南理工大学广州学院2017年度创新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/>
          <w:kern w:val="2"/>
          <w:sz w:val="44"/>
          <w:szCs w:val="44"/>
          <w:lang w:val="en-US" w:eastAsia="zh-CN" w:bidi="ar-SA"/>
        </w:rPr>
        <w:t>创业教育工作先进单位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机械工程学院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电子信息工程学院(中兴通信工程学院）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管理学院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老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10429"/>
    <w:rsid w:val="335D198C"/>
    <w:rsid w:val="408E6C59"/>
    <w:rsid w:val="45610429"/>
    <w:rsid w:val="4AAE0978"/>
    <w:rsid w:val="51A937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2017-06-15T03:42:00Z</dcterms:created>
  <dc:creator>Administrator</dc:creator>
  <cp:lastModifiedBy>Administrator</cp:lastModifiedBy>
  <dcterms:modified xsi:type="dcterms:W3CDTF">2017-06-21T02:40:27Z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