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0D0D0D"/>
          <w:sz w:val="32"/>
          <w:szCs w:val="32"/>
          <w:lang w:val="en-US" w:eastAsia="zh-CN"/>
        </w:rPr>
      </w:pPr>
      <w:r>
        <w:rPr>
          <w:rFonts w:hint="eastAsia" w:ascii="仿宋_GB2312" w:hAnsi="仿宋_GB2312" w:eastAsia="仿宋_GB2312" w:cs="仿宋_GB2312"/>
          <w:b w:val="0"/>
          <w:bCs/>
          <w:color w:val="0D0D0D"/>
          <w:sz w:val="32"/>
          <w:szCs w:val="32"/>
          <w:lang w:val="en-US" w:eastAsia="zh-CN"/>
        </w:rPr>
        <w:t>附件</w:t>
      </w:r>
      <w:r>
        <w:rPr>
          <w:rFonts w:hint="eastAsia" w:ascii="仿宋_GB2312" w:hAnsi="仿宋_GB2312" w:cs="仿宋_GB2312"/>
          <w:b w:val="0"/>
          <w:bCs/>
          <w:color w:val="0D0D0D"/>
          <w:sz w:val="32"/>
          <w:szCs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color w:val="0D0D0D"/>
          <w:sz w:val="32"/>
          <w:szCs w:val="32"/>
          <w:lang w:val="en-US" w:eastAsia="zh-CN"/>
        </w:rPr>
      </w:pPr>
    </w:p>
    <w:p>
      <w:pPr>
        <w:spacing w:line="800" w:lineRule="exact"/>
        <w:ind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广州城市理工学院通选课管理办法</w:t>
      </w:r>
    </w:p>
    <w:p>
      <w:pPr>
        <w:ind w:firstLine="0" w:firstLineChars="0"/>
        <w:jc w:val="center"/>
        <w:rPr>
          <w:rFonts w:ascii="宋体" w:hAnsi="宋体" w:eastAsia="宋体"/>
          <w:b/>
          <w:bCs/>
          <w:color w:val="000000"/>
        </w:rPr>
      </w:pPr>
      <w:r>
        <w:rPr>
          <w:rFonts w:hint="eastAsia" w:ascii="宋体" w:hAnsi="宋体" w:eastAsia="宋体"/>
          <w:b/>
          <w:bCs/>
          <w:color w:val="000000"/>
        </w:rPr>
        <w:t>（2021年11月修订）</w:t>
      </w:r>
    </w:p>
    <w:p>
      <w:pPr>
        <w:ind w:firstLine="0" w:firstLineChars="0"/>
        <w:jc w:val="center"/>
        <w:rPr>
          <w:rFonts w:ascii="宋体" w:hAnsi="宋体" w:eastAsia="宋体"/>
          <w:color w:val="000000"/>
        </w:rPr>
      </w:pPr>
    </w:p>
    <w:p>
      <w:pPr>
        <w:pStyle w:val="2"/>
        <w:ind w:firstLine="0" w:firstLineChars="0"/>
        <w:rPr>
          <w:color w:val="000000"/>
        </w:rPr>
      </w:pPr>
      <w:r>
        <w:rPr>
          <w:rFonts w:hint="eastAsia"/>
          <w:color w:val="000000"/>
        </w:rPr>
        <w:t>第一章总则</w:t>
      </w:r>
    </w:p>
    <w:p>
      <w:pPr>
        <w:spacing w:line="600" w:lineRule="exact"/>
        <w:ind w:firstLine="671"/>
        <w:rPr>
          <w:color w:val="000000"/>
        </w:rPr>
      </w:pPr>
      <w:r>
        <w:rPr>
          <w:rFonts w:hint="eastAsia"/>
          <w:b/>
          <w:bCs/>
          <w:color w:val="000000"/>
        </w:rPr>
        <w:t xml:space="preserve">第一条 </w:t>
      </w:r>
      <w:r>
        <w:rPr>
          <w:rFonts w:hint="eastAsia"/>
          <w:color w:val="000000"/>
        </w:rPr>
        <w:t>通识教育选修课（以下简称“通选课”）是学校课程体系的重要组成部分，旨在完善学生知识结构、拓展学生的视野，打破学科壁垒，促进不同学科的交叉和渗透，让学生获得专业以外的能力，加强学生全面素养，提供学生持续学习和发展所必需的基础。为规范学校通选课管理，保证教学质量，特制订本办法。</w:t>
      </w:r>
    </w:p>
    <w:p>
      <w:pPr>
        <w:spacing w:line="600" w:lineRule="exact"/>
        <w:ind w:firstLine="0" w:firstLineChars="0"/>
        <w:jc w:val="center"/>
        <w:rPr>
          <w:color w:val="000000"/>
        </w:rPr>
      </w:pPr>
      <w:r>
        <w:rPr>
          <w:rFonts w:hint="eastAsia" w:eastAsia="黑体"/>
          <w:bCs/>
          <w:color w:val="000000"/>
          <w:kern w:val="44"/>
          <w:szCs w:val="44"/>
        </w:rPr>
        <w:t>第二章 通选课类别</w:t>
      </w:r>
    </w:p>
    <w:p>
      <w:pPr>
        <w:spacing w:line="600" w:lineRule="exact"/>
        <w:ind w:firstLine="671"/>
        <w:rPr>
          <w:color w:val="000000"/>
        </w:rPr>
      </w:pPr>
      <w:r>
        <w:rPr>
          <w:rFonts w:hint="eastAsia"/>
          <w:b/>
          <w:color w:val="000000"/>
        </w:rPr>
        <w:t>第二条</w:t>
      </w:r>
      <w:r>
        <w:rPr>
          <w:rFonts w:hint="eastAsia"/>
          <w:color w:val="000000"/>
        </w:rPr>
        <w:t xml:space="preserve">  学校通选课包括线上通选课程和线下通选课程。</w:t>
      </w:r>
    </w:p>
    <w:p>
      <w:pPr>
        <w:spacing w:line="600" w:lineRule="exact"/>
        <w:ind w:firstLine="0" w:firstLineChars="0"/>
        <w:jc w:val="center"/>
        <w:rPr>
          <w:color w:val="000000"/>
        </w:rPr>
      </w:pPr>
      <w:r>
        <w:rPr>
          <w:rFonts w:hint="eastAsia" w:eastAsia="黑体"/>
          <w:bCs/>
          <w:color w:val="000000"/>
          <w:kern w:val="44"/>
          <w:szCs w:val="44"/>
        </w:rPr>
        <w:t>第三章 通选课管理</w:t>
      </w:r>
    </w:p>
    <w:p>
      <w:pPr>
        <w:spacing w:line="600" w:lineRule="exact"/>
        <w:ind w:firstLine="671"/>
        <w:rPr>
          <w:color w:val="000000"/>
        </w:rPr>
      </w:pPr>
      <w:r>
        <w:rPr>
          <w:rFonts w:hint="eastAsia"/>
          <w:b/>
          <w:color w:val="000000"/>
        </w:rPr>
        <w:t xml:space="preserve">第三条 </w:t>
      </w:r>
      <w:r>
        <w:rPr>
          <w:rFonts w:hint="eastAsia"/>
          <w:color w:val="000000"/>
        </w:rPr>
        <w:t>线下通选课申报教师要求具有硕士研究生及以上学历或具有讲师及以上职称，具有丰富的教学经验。</w:t>
      </w:r>
    </w:p>
    <w:p>
      <w:pPr>
        <w:widowControl w:val="0"/>
        <w:spacing w:line="600" w:lineRule="exact"/>
        <w:ind w:firstLine="640" w:firstLineChars="0"/>
        <w:rPr>
          <w:rFonts w:ascii="仿宋_GB2312"/>
          <w:szCs w:val="32"/>
        </w:rPr>
      </w:pPr>
      <w:r>
        <w:rPr>
          <w:rFonts w:hint="eastAsia"/>
          <w:b/>
          <w:color w:val="000000"/>
        </w:rPr>
        <w:t xml:space="preserve">第四条 </w:t>
      </w:r>
      <w:r>
        <w:rPr>
          <w:rFonts w:hint="eastAsia" w:ascii="仿宋_GB2312"/>
          <w:szCs w:val="32"/>
        </w:rPr>
        <w:t>通选课每门课程分为32学时，2学分或16学时，1学分。</w:t>
      </w:r>
    </w:p>
    <w:p>
      <w:pPr>
        <w:spacing w:line="600" w:lineRule="exact"/>
        <w:ind w:firstLine="671"/>
        <w:rPr>
          <w:color w:val="000000"/>
        </w:rPr>
      </w:pPr>
      <w:r>
        <w:rPr>
          <w:rFonts w:hint="eastAsia"/>
          <w:b/>
          <w:color w:val="000000"/>
        </w:rPr>
        <w:t>第五条</w:t>
      </w:r>
      <w:r>
        <w:rPr>
          <w:rFonts w:hint="eastAsia"/>
          <w:color w:val="000000"/>
        </w:rPr>
        <w:t xml:space="preserve">  申报的课程应具有本专业特色和学科特点，课程内容以本专业学科知识的普及和学生视野的拓展为宜。</w:t>
      </w:r>
    </w:p>
    <w:p>
      <w:pPr>
        <w:spacing w:line="600" w:lineRule="exact"/>
        <w:ind w:firstLine="671"/>
        <w:rPr>
          <w:color w:val="000000"/>
        </w:rPr>
      </w:pPr>
      <w:r>
        <w:rPr>
          <w:rFonts w:hint="eastAsia"/>
          <w:b/>
          <w:color w:val="000000"/>
        </w:rPr>
        <w:t>第六条</w:t>
      </w:r>
      <w:r>
        <w:rPr>
          <w:rFonts w:hint="eastAsia"/>
          <w:color w:val="000000"/>
        </w:rPr>
        <w:t xml:space="preserve">  教务处每学期15周前在全校征集下一学期的线下通选课程。各学院（部）按征集课程的通知要求组织本学院（部）教师申报线下通选课。凡申请担任通选课的教师需先填写通选课申报表，经学院（部）主管教学院长审核通过后，在教务管理信息系统上填报相关申报材料。各学院（部）汇总材料后报相关开课单位。申报课程为教师首次讲授的，还需提供所在单位的试听评分表。</w:t>
      </w:r>
    </w:p>
    <w:p>
      <w:pPr>
        <w:spacing w:line="600" w:lineRule="exact"/>
        <w:ind w:firstLine="671"/>
        <w:rPr>
          <w:color w:val="000000"/>
        </w:rPr>
      </w:pPr>
      <w:r>
        <w:rPr>
          <w:rFonts w:hint="eastAsia"/>
          <w:b/>
          <w:color w:val="000000"/>
        </w:rPr>
        <w:t>第七条</w:t>
      </w:r>
      <w:r>
        <w:rPr>
          <w:rFonts w:hint="eastAsia"/>
          <w:color w:val="000000"/>
        </w:rPr>
        <w:t xml:space="preserve">  通选课程的文化素质教育类课程由人文素质教研室开设管理，创新创业类课程由创新创业教育学院开设管理，其它类课程由开课教师所在单位开设管理。</w:t>
      </w:r>
    </w:p>
    <w:p>
      <w:pPr>
        <w:spacing w:line="600" w:lineRule="exact"/>
        <w:ind w:firstLine="671"/>
        <w:rPr>
          <w:color w:val="000000"/>
        </w:rPr>
      </w:pPr>
      <w:r>
        <w:rPr>
          <w:rFonts w:hint="eastAsia"/>
          <w:b/>
          <w:color w:val="000000"/>
        </w:rPr>
        <w:t>第八条</w:t>
      </w:r>
      <w:r>
        <w:rPr>
          <w:rFonts w:hint="eastAsia"/>
          <w:color w:val="000000"/>
        </w:rPr>
        <w:t xml:space="preserve">  教务处根据申报材料的审核结果于每学期18周前公布下一学期所有通选课课程的开课信息。</w:t>
      </w:r>
    </w:p>
    <w:p>
      <w:pPr>
        <w:spacing w:line="600" w:lineRule="exact"/>
        <w:ind w:firstLine="671"/>
        <w:rPr>
          <w:color w:val="000000"/>
        </w:rPr>
      </w:pPr>
      <w:r>
        <w:rPr>
          <w:rFonts w:hint="eastAsia"/>
          <w:b/>
          <w:color w:val="000000"/>
        </w:rPr>
        <w:t>第九条</w:t>
      </w:r>
      <w:r>
        <w:rPr>
          <w:rFonts w:hint="eastAsia"/>
          <w:color w:val="000000"/>
        </w:rPr>
        <w:t xml:space="preserve">  通选课学分按照各专业培养计划要求计入学生毕业总学分。通选课无补考和重修，学生学习课程考核不及格则重新选课学习。</w:t>
      </w:r>
    </w:p>
    <w:p>
      <w:pPr>
        <w:spacing w:line="600" w:lineRule="exact"/>
        <w:ind w:firstLine="671"/>
        <w:rPr>
          <w:color w:val="000000"/>
        </w:rPr>
      </w:pPr>
      <w:r>
        <w:rPr>
          <w:rFonts w:hint="eastAsia"/>
          <w:b/>
          <w:color w:val="000000"/>
        </w:rPr>
        <w:t>第十条</w:t>
      </w:r>
      <w:r>
        <w:rPr>
          <w:rFonts w:hint="eastAsia"/>
          <w:color w:val="000000"/>
        </w:rPr>
        <w:t xml:space="preserve">  通选课的选课由各学院根据教务处发放的选课通知组织学生在教务管理系统上进行。任课教师需在选课前确认本人所担任课程的具体信息。选课一旦确认，不得停开课程。</w:t>
      </w:r>
    </w:p>
    <w:p>
      <w:pPr>
        <w:spacing w:line="600" w:lineRule="exact"/>
        <w:ind w:firstLine="0" w:firstLineChars="0"/>
        <w:jc w:val="center"/>
        <w:rPr>
          <w:color w:val="000000"/>
        </w:rPr>
      </w:pPr>
      <w:r>
        <w:rPr>
          <w:rFonts w:hint="eastAsia" w:eastAsia="黑体"/>
          <w:bCs/>
          <w:color w:val="000000"/>
          <w:kern w:val="44"/>
          <w:szCs w:val="44"/>
        </w:rPr>
        <w:t>第四章 质量监控</w:t>
      </w:r>
    </w:p>
    <w:p>
      <w:pPr>
        <w:spacing w:line="600" w:lineRule="exact"/>
        <w:ind w:firstLine="671"/>
        <w:rPr>
          <w:color w:val="000000"/>
        </w:rPr>
      </w:pPr>
      <w:r>
        <w:rPr>
          <w:rFonts w:hint="eastAsia"/>
          <w:b/>
          <w:color w:val="000000"/>
        </w:rPr>
        <w:t>第十一条</w:t>
      </w:r>
      <w:r>
        <w:rPr>
          <w:rFonts w:hint="eastAsia"/>
          <w:color w:val="000000"/>
        </w:rPr>
        <w:t xml:space="preserve">  教务处定期或不定期地对通选课的教学状况进行监督、检查，以听课、网上评教等方式对通选课开展教学质量跟踪。对不合格或发生重大教学事故的课程取消下学期的开课资格。</w:t>
      </w:r>
    </w:p>
    <w:p>
      <w:pPr>
        <w:spacing w:line="600" w:lineRule="exact"/>
        <w:ind w:firstLine="668"/>
        <w:rPr>
          <w:color w:val="000000"/>
        </w:rPr>
      </w:pPr>
    </w:p>
    <w:p>
      <w:pPr>
        <w:pStyle w:val="2"/>
        <w:spacing w:line="600" w:lineRule="exact"/>
        <w:ind w:firstLine="668"/>
        <w:rPr>
          <w:color w:val="000000"/>
        </w:rPr>
      </w:pPr>
      <w:r>
        <w:rPr>
          <w:rFonts w:hint="eastAsia"/>
          <w:color w:val="000000"/>
        </w:rPr>
        <w:t>第五章 附则</w:t>
      </w:r>
    </w:p>
    <w:p>
      <w:pPr>
        <w:spacing w:line="600" w:lineRule="exact"/>
        <w:ind w:firstLine="671"/>
        <w:rPr>
          <w:color w:val="000000"/>
        </w:rPr>
      </w:pPr>
      <w:r>
        <w:rPr>
          <w:rFonts w:hint="eastAsia"/>
          <w:b/>
          <w:color w:val="000000"/>
        </w:rPr>
        <w:t>第十二条</w:t>
      </w:r>
      <w:r>
        <w:rPr>
          <w:rFonts w:hint="eastAsia"/>
          <w:color w:val="000000"/>
        </w:rPr>
        <w:t xml:space="preserve">  本办法自发布之日起施行。原《华南理工大学广州学院通选课管理办法（2019年5月修订）》废止。</w:t>
      </w:r>
    </w:p>
    <w:p>
      <w:pPr>
        <w:spacing w:line="600" w:lineRule="exact"/>
        <w:ind w:firstLine="671"/>
        <w:rPr>
          <w:color w:val="000000"/>
        </w:rPr>
      </w:pPr>
      <w:r>
        <w:rPr>
          <w:rFonts w:hint="eastAsia"/>
          <w:b/>
          <w:color w:val="000000"/>
        </w:rPr>
        <w:t xml:space="preserve">第十三条 </w:t>
      </w:r>
      <w:r>
        <w:rPr>
          <w:rFonts w:hint="eastAsia"/>
          <w:bCs/>
          <w:color w:val="000000"/>
        </w:rPr>
        <w:t>本办法解释权归属教务处</w:t>
      </w:r>
      <w:r>
        <w:rPr>
          <w:rFonts w:hint="eastAsia"/>
          <w:b/>
          <w:color w:val="000000"/>
        </w:rPr>
        <w:t>。</w:t>
      </w:r>
    </w:p>
    <w:p>
      <w:pPr>
        <w:widowControl w:val="0"/>
        <w:spacing w:line="600" w:lineRule="exact"/>
        <w:ind w:firstLine="668"/>
        <w:rPr>
          <w:color w:val="000000"/>
        </w:rPr>
      </w:pPr>
    </w:p>
    <w:p>
      <w:pPr>
        <w:spacing w:line="600" w:lineRule="exact"/>
        <w:ind w:firstLine="0" w:firstLineChars="0"/>
        <w:rPr>
          <w:color w:val="000000"/>
        </w:rPr>
      </w:pPr>
    </w:p>
    <w:p>
      <w:pPr>
        <w:spacing w:line="600" w:lineRule="exact"/>
        <w:ind w:firstLine="668"/>
      </w:pPr>
    </w:p>
    <w:sectPr>
      <w:headerReference r:id="rId7" w:type="first"/>
      <w:footerReference r:id="rId10" w:type="first"/>
      <w:headerReference r:id="rId5" w:type="default"/>
      <w:footerReference r:id="rId8" w:type="default"/>
      <w:headerReference r:id="rId6" w:type="even"/>
      <w:footerReference r:id="rId9" w:type="even"/>
      <w:pgSz w:w="11907" w:h="16840"/>
      <w:pgMar w:top="1701" w:right="1134" w:bottom="1418" w:left="1418" w:header="720" w:footer="720" w:gutter="0"/>
      <w:pgNumType w:fmt="numberInDash"/>
      <w:cols w:space="720" w:num="1"/>
      <w:docGrid w:type="linesAndChars" w:linePitch="623" w:charSpace="28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68"/>
      </w:pPr>
      <w:r>
        <w:separator/>
      </w:r>
    </w:p>
  </w:endnote>
  <w:endnote w:type="continuationSeparator" w:id="1">
    <w:p>
      <w:pPr>
        <w:ind w:firstLine="6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642912"/>
    </w:sdtPr>
    <w:sdtEndPr>
      <w:rPr>
        <w:rFonts w:asciiTheme="minorEastAsia" w:hAnsiTheme="minorEastAsia" w:eastAsiaTheme="minorEastAsia"/>
        <w:sz w:val="28"/>
        <w:szCs w:val="28"/>
      </w:rPr>
    </w:sdtEndPr>
    <w:sdtContent>
      <w:p>
        <w:pPr>
          <w:pStyle w:val="5"/>
          <w:ind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642914"/>
    </w:sdtPr>
    <w:sdtEndPr>
      <w:rPr>
        <w:rFonts w:asciiTheme="minorEastAsia" w:hAnsiTheme="minorEastAsia" w:eastAsiaTheme="minorEastAsia"/>
        <w:sz w:val="28"/>
        <w:szCs w:val="28"/>
      </w:rPr>
    </w:sdtEndPr>
    <w:sdtContent>
      <w:p>
        <w:pPr>
          <w:pStyle w:val="5"/>
          <w:ind w:firstLine="36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68"/>
      </w:pPr>
      <w:r>
        <w:separator/>
      </w:r>
    </w:p>
  </w:footnote>
  <w:footnote w:type="continuationSeparator" w:id="1">
    <w:p>
      <w:pPr>
        <w:ind w:firstLine="66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7"/>
  <w:drawingGridVerticalSpacing w:val="6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3NjhkZDViYmY1Y2JlNDc2ODQ4NDRhZTA5MGE0MDQifQ=="/>
  </w:docVars>
  <w:rsids>
    <w:rsidRoot w:val="005149C6"/>
    <w:rsid w:val="000756B0"/>
    <w:rsid w:val="000953AA"/>
    <w:rsid w:val="000A0BF8"/>
    <w:rsid w:val="000C5FBC"/>
    <w:rsid w:val="000F10C0"/>
    <w:rsid w:val="00122502"/>
    <w:rsid w:val="00142EA0"/>
    <w:rsid w:val="0016318F"/>
    <w:rsid w:val="001B372E"/>
    <w:rsid w:val="002126A4"/>
    <w:rsid w:val="00292D7E"/>
    <w:rsid w:val="0032030C"/>
    <w:rsid w:val="003352C5"/>
    <w:rsid w:val="00336665"/>
    <w:rsid w:val="00351860"/>
    <w:rsid w:val="00366DC1"/>
    <w:rsid w:val="003756D9"/>
    <w:rsid w:val="003867CB"/>
    <w:rsid w:val="003B0BD8"/>
    <w:rsid w:val="003B6D7A"/>
    <w:rsid w:val="003C62C7"/>
    <w:rsid w:val="003D41AD"/>
    <w:rsid w:val="003D606B"/>
    <w:rsid w:val="003F0CF2"/>
    <w:rsid w:val="004046FA"/>
    <w:rsid w:val="004E3777"/>
    <w:rsid w:val="00502BB9"/>
    <w:rsid w:val="00507FFA"/>
    <w:rsid w:val="005149C6"/>
    <w:rsid w:val="00562CE6"/>
    <w:rsid w:val="005A3AE1"/>
    <w:rsid w:val="00603D12"/>
    <w:rsid w:val="00636E21"/>
    <w:rsid w:val="00672A05"/>
    <w:rsid w:val="006C75FE"/>
    <w:rsid w:val="00700BEC"/>
    <w:rsid w:val="007517CE"/>
    <w:rsid w:val="00766FE7"/>
    <w:rsid w:val="007A7CD5"/>
    <w:rsid w:val="007D34BF"/>
    <w:rsid w:val="007E3831"/>
    <w:rsid w:val="00847CC1"/>
    <w:rsid w:val="00873AF8"/>
    <w:rsid w:val="008B5956"/>
    <w:rsid w:val="009347A6"/>
    <w:rsid w:val="00962069"/>
    <w:rsid w:val="00973580"/>
    <w:rsid w:val="00991595"/>
    <w:rsid w:val="009A2305"/>
    <w:rsid w:val="009E7747"/>
    <w:rsid w:val="00A00C4F"/>
    <w:rsid w:val="00A1120A"/>
    <w:rsid w:val="00A63805"/>
    <w:rsid w:val="00AB0DD6"/>
    <w:rsid w:val="00AB4BAA"/>
    <w:rsid w:val="00AD20EA"/>
    <w:rsid w:val="00AE04D8"/>
    <w:rsid w:val="00AE4F40"/>
    <w:rsid w:val="00AF2E53"/>
    <w:rsid w:val="00AF2E91"/>
    <w:rsid w:val="00AF3195"/>
    <w:rsid w:val="00B16205"/>
    <w:rsid w:val="00B739C7"/>
    <w:rsid w:val="00BA518E"/>
    <w:rsid w:val="00C470A5"/>
    <w:rsid w:val="00C54412"/>
    <w:rsid w:val="00CF118A"/>
    <w:rsid w:val="00CF1786"/>
    <w:rsid w:val="00D32CB6"/>
    <w:rsid w:val="00D32DB4"/>
    <w:rsid w:val="00D91445"/>
    <w:rsid w:val="00DA1AEE"/>
    <w:rsid w:val="00DB66BF"/>
    <w:rsid w:val="00E47F71"/>
    <w:rsid w:val="00ED28EB"/>
    <w:rsid w:val="00ED7F7E"/>
    <w:rsid w:val="00EE3885"/>
    <w:rsid w:val="00F01BFE"/>
    <w:rsid w:val="00F330F6"/>
    <w:rsid w:val="00F73D53"/>
    <w:rsid w:val="00F90C78"/>
    <w:rsid w:val="00FA025A"/>
    <w:rsid w:val="00FA52F1"/>
    <w:rsid w:val="00FC580B"/>
    <w:rsid w:val="06000720"/>
    <w:rsid w:val="06766343"/>
    <w:rsid w:val="08F303F3"/>
    <w:rsid w:val="0C9F60B3"/>
    <w:rsid w:val="1DA11508"/>
    <w:rsid w:val="205A7F9D"/>
    <w:rsid w:val="2DB3717E"/>
    <w:rsid w:val="37ED0AD5"/>
    <w:rsid w:val="39C53A9D"/>
    <w:rsid w:val="45B63AAB"/>
    <w:rsid w:val="58705039"/>
    <w:rsid w:val="59A0593C"/>
    <w:rsid w:val="5D5F2482"/>
    <w:rsid w:val="5E935E36"/>
    <w:rsid w:val="796D0A75"/>
    <w:rsid w:val="7E2B0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Times New Roman"/>
      <w:sz w:val="32"/>
      <w:lang w:val="en-US" w:eastAsia="zh-CN" w:bidi="ar-SA"/>
    </w:rPr>
  </w:style>
  <w:style w:type="paragraph" w:styleId="2">
    <w:name w:val="heading 1"/>
    <w:basedOn w:val="1"/>
    <w:next w:val="1"/>
    <w:link w:val="10"/>
    <w:qFormat/>
    <w:uiPriority w:val="0"/>
    <w:pPr>
      <w:keepNext/>
      <w:keepLines/>
      <w:jc w:val="center"/>
      <w:outlineLvl w:val="0"/>
    </w:pPr>
    <w:rPr>
      <w:rFonts w:eastAsia="黑体"/>
      <w:bCs/>
      <w:kern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semiHidden/>
    <w:qFormat/>
    <w:uiPriority w:val="0"/>
  </w:style>
  <w:style w:type="paragraph" w:styleId="4">
    <w:name w:val="Balloon Text"/>
    <w:basedOn w:val="1"/>
    <w:link w:val="14"/>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pPr>
    <w:rPr>
      <w:sz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1 Char"/>
    <w:basedOn w:val="8"/>
    <w:link w:val="2"/>
    <w:qFormat/>
    <w:uiPriority w:val="0"/>
    <w:rPr>
      <w:rFonts w:ascii="Times New Roman" w:hAnsi="Times New Roman" w:eastAsia="黑体" w:cs="Times New Roman"/>
      <w:bCs/>
      <w:kern w:val="44"/>
      <w:sz w:val="32"/>
      <w:szCs w:val="44"/>
    </w:rPr>
  </w:style>
  <w:style w:type="character" w:customStyle="1" w:styleId="11">
    <w:name w:val="页脚 Char"/>
    <w:basedOn w:val="8"/>
    <w:link w:val="5"/>
    <w:qFormat/>
    <w:uiPriority w:val="99"/>
    <w:rPr>
      <w:rFonts w:ascii="Times New Roman" w:hAnsi="Times New Roman" w:eastAsia="仿宋_GB2312" w:cs="Times New Roman"/>
      <w:kern w:val="0"/>
      <w:sz w:val="18"/>
      <w:szCs w:val="20"/>
    </w:rPr>
  </w:style>
  <w:style w:type="character" w:customStyle="1" w:styleId="12">
    <w:name w:val="批注文字 Char"/>
    <w:basedOn w:val="8"/>
    <w:link w:val="3"/>
    <w:semiHidden/>
    <w:qFormat/>
    <w:uiPriority w:val="0"/>
    <w:rPr>
      <w:rFonts w:ascii="Times New Roman" w:hAnsi="Times New Roman" w:eastAsia="仿宋_GB2312" w:cs="Times New Roman"/>
      <w:kern w:val="0"/>
      <w:sz w:val="32"/>
      <w:szCs w:val="20"/>
    </w:rPr>
  </w:style>
  <w:style w:type="character" w:customStyle="1" w:styleId="13">
    <w:name w:val="页眉 Char"/>
    <w:basedOn w:val="8"/>
    <w:link w:val="6"/>
    <w:qFormat/>
    <w:uiPriority w:val="99"/>
    <w:rPr>
      <w:rFonts w:ascii="Times New Roman" w:hAnsi="Times New Roman" w:eastAsia="仿宋_GB2312" w:cs="Times New Roman"/>
      <w:kern w:val="0"/>
      <w:sz w:val="18"/>
      <w:szCs w:val="18"/>
    </w:rPr>
  </w:style>
  <w:style w:type="character" w:customStyle="1" w:styleId="14">
    <w:name w:val="批注框文本 Char"/>
    <w:basedOn w:val="8"/>
    <w:link w:val="4"/>
    <w:semiHidden/>
    <w:qFormat/>
    <w:uiPriority w:val="99"/>
    <w:rPr>
      <w:rFonts w:ascii="Times New Roman"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910</Words>
  <Characters>921</Characters>
  <Lines>6</Lines>
  <Paragraphs>1</Paragraphs>
  <TotalTime>0</TotalTime>
  <ScaleCrop>false</ScaleCrop>
  <LinksUpToDate>false</LinksUpToDate>
  <CharactersWithSpaces>947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2017-07-04T07:16:00Z</dcterms:created>
  <dc:creator>User</dc:creator>
  <cp:lastModifiedBy>燕子飞</cp:lastModifiedBy>
  <cp:lastPrinted>2019-05-22T01:58:00Z</cp:lastPrinted>
  <dcterms:modified xsi:type="dcterms:W3CDTF">2022-11-17T08:50:22Z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76666412834A4880B0475049ED5ABCE2</vt:lpwstr>
  </property>
</Properties>
</file>